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5D" w:rsidRDefault="00B2141D" w:rsidP="00B2141D">
      <w:pPr>
        <w:jc w:val="center"/>
        <w:rPr>
          <w:b/>
          <w:sz w:val="28"/>
          <w:szCs w:val="28"/>
        </w:rPr>
      </w:pPr>
      <w:r w:rsidRPr="00B2141D">
        <w:rPr>
          <w:b/>
          <w:sz w:val="28"/>
          <w:szCs w:val="28"/>
        </w:rPr>
        <w:t>Convocatoria 2010 de subvenciones EMAS para la implantación de Sistemas de gestión ambiental europeos</w:t>
      </w:r>
    </w:p>
    <w:p w:rsidR="00B2141D" w:rsidRDefault="00B2141D" w:rsidP="00B2141D">
      <w:pPr>
        <w:ind w:left="708"/>
      </w:pPr>
    </w:p>
    <w:p w:rsidR="00B2141D" w:rsidRDefault="00B2141D" w:rsidP="00B2141D">
      <w:pPr>
        <w:ind w:left="708"/>
        <w:rPr>
          <w:b/>
          <w:bCs/>
        </w:rPr>
      </w:pPr>
      <w:hyperlink r:id="rId7" w:history="1">
        <w:r>
          <w:rPr>
            <w:rStyle w:val="Hipervnculo"/>
            <w:b/>
            <w:bCs/>
          </w:rPr>
          <w:t>ORDEN de 24 de marzo de 2010</w:t>
        </w:r>
      </w:hyperlink>
      <w:r>
        <w:rPr>
          <w:b/>
          <w:bCs/>
        </w:rPr>
        <w:t xml:space="preserve">, por la que se convocan subvenciones para el fomento del instrumento establecido en el Reglamento (CE) nº 1221/2009, del Parlamento Europeo y del Consejo, de 25 de noviembre, relativo a la participación voluntaria de organizaciones en un sistema comunitario de gestión y auditoría medioambientales (EMAS) para el ejercicio 2010, cofinanciadas por el Fondo Europeo de Desarrollo Regional. </w:t>
      </w:r>
    </w:p>
    <w:p w:rsidR="00B2141D" w:rsidRDefault="00B2141D" w:rsidP="00B2141D">
      <w:pPr>
        <w:ind w:left="708"/>
      </w:pPr>
      <w:r>
        <w:rPr>
          <w:b/>
          <w:bCs/>
        </w:rPr>
        <w:t>Organismo</w:t>
      </w:r>
      <w:r>
        <w:t>: Consejería de Medio Ambiente y Ordenación Territorial.</w:t>
      </w:r>
    </w:p>
    <w:p w:rsidR="00B2141D" w:rsidRDefault="00B2141D" w:rsidP="00B2141D">
      <w:pPr>
        <w:ind w:left="708"/>
      </w:pPr>
      <w:r>
        <w:rPr>
          <w:b/>
          <w:bCs/>
        </w:rPr>
        <w:t>Fecha Inicio</w:t>
      </w:r>
      <w:r>
        <w:t>: 09/04/2010   </w:t>
      </w:r>
      <w:r>
        <w:rPr>
          <w:b/>
          <w:bCs/>
        </w:rPr>
        <w:t>Fecha Finalización</w:t>
      </w:r>
      <w:r>
        <w:t xml:space="preserve">: 10/05/2009 </w:t>
      </w:r>
    </w:p>
    <w:p w:rsidR="00B2141D" w:rsidRDefault="00B2141D" w:rsidP="00B2141D">
      <w:pPr>
        <w:ind w:left="708"/>
      </w:pPr>
      <w:r>
        <w:rPr>
          <w:b/>
          <w:bCs/>
        </w:rPr>
        <w:t>Objeto</w:t>
      </w:r>
      <w:r>
        <w:t>: la concesión de ayuda económica a las organizaciones ubicadas en la Comunidad Autónoma de Canarias que realicen actuaciones para la implantación del sistema comunitario de gestión y auditoría medioambientales (EMAS).</w:t>
      </w:r>
    </w:p>
    <w:p w:rsidR="00B2141D" w:rsidRDefault="00B2141D" w:rsidP="00B2141D">
      <w:pPr>
        <w:ind w:left="708"/>
      </w:pPr>
      <w:r>
        <w:rPr>
          <w:b/>
          <w:bCs/>
        </w:rPr>
        <w:t>Sujetos beneficiarios</w:t>
      </w:r>
      <w:r>
        <w:t xml:space="preserve">: Cualquier organización ubicada en la Comunidad Autónoma de Canarias, que establezca un sistema de gestión medioambiental de acuerdo con el Reglamento (CE) nº 761/2001 del Parlamento Europeo y del Consejo, de 19 de marzo, por el que se permite que las organizaciones se adhieran con carácter voluntario a un sistema comunitario de gestión y auditoría medioambientales (EMAS). </w:t>
      </w:r>
      <w:r>
        <w:br/>
      </w:r>
      <w:r>
        <w:br/>
        <w:t>Se considera organización a efectos de esta orden, las definidas en el artículo 2 letra s) del citado Reglamento EMAS, esto es: la compañía, sociedad, firma, empresa, autoridad o institución, o parte o combinación de ellas, tenga o no personalidad jurídica, sea pública o privada, que tiene sus propias funciones y administración.</w:t>
      </w:r>
    </w:p>
    <w:p w:rsidR="00B2141D" w:rsidRDefault="00B2141D" w:rsidP="00B2141D">
      <w:pPr>
        <w:pStyle w:val="NormalWeb"/>
        <w:ind w:left="708"/>
        <w:rPr>
          <w:rFonts w:ascii="Calibri" w:hAnsi="Calibri"/>
          <w:sz w:val="22"/>
          <w:szCs w:val="22"/>
        </w:rPr>
      </w:pPr>
      <w:r>
        <w:rPr>
          <w:rStyle w:val="Textoennegrita"/>
          <w:rFonts w:ascii="Calibri" w:hAnsi="Calibri"/>
        </w:rPr>
        <w:t>Acciones subvencionables: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 w:val="22"/>
          <w:szCs w:val="22"/>
        </w:rPr>
        <w:t>Serán las fijadas en la base quinta de la Orden de 12 de agosto de 2008:</w:t>
      </w:r>
    </w:p>
    <w:p w:rsidR="00B2141D" w:rsidRDefault="00B2141D" w:rsidP="00B2141D">
      <w:pPr>
        <w:pStyle w:val="NormalWeb"/>
        <w:numPr>
          <w:ilvl w:val="0"/>
          <w:numId w:val="1"/>
        </w:numPr>
        <w:ind w:left="17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verificación ambiental y su mantenimiento anual (validación de la declaración medioambiental), actuaciones estas que se encargan de comprobar que las políticas, los programas, los sistemas de gestión, los procedimientos de auditorías y la propia declaración medioambiental cumplen con los requisitos previstos en el Reglamento EMAS.</w:t>
      </w:r>
    </w:p>
    <w:p w:rsidR="00B2141D" w:rsidRDefault="00B2141D" w:rsidP="00B2141D">
      <w:pPr>
        <w:pStyle w:val="NormalWeb"/>
        <w:numPr>
          <w:ilvl w:val="0"/>
          <w:numId w:val="1"/>
        </w:numPr>
        <w:ind w:left="17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implantación del sistema de gestión medioambiental en la organización según el Reglamento EMAS.</w:t>
      </w:r>
    </w:p>
    <w:p w:rsidR="00B2141D" w:rsidRDefault="00B2141D" w:rsidP="00B2141D">
      <w:pPr>
        <w:pStyle w:val="NormalWeb"/>
        <w:ind w:left="708"/>
        <w:rPr>
          <w:rFonts w:ascii="Calibri" w:hAnsi="Calibri"/>
          <w:b/>
          <w:bCs/>
        </w:rPr>
      </w:pPr>
    </w:p>
    <w:p w:rsidR="00B2141D" w:rsidRDefault="00B2141D" w:rsidP="00B2141D">
      <w:pPr>
        <w:ind w:left="708"/>
        <w:rPr>
          <w:rFonts w:ascii="Calibri" w:hAnsi="Calibri"/>
        </w:rPr>
      </w:pPr>
      <w:r>
        <w:rPr>
          <w:b/>
          <w:bCs/>
        </w:rPr>
        <w:t>Cuantías:</w:t>
      </w:r>
      <w:r>
        <w:t xml:space="preserve"> importes máximos de las subvenciones, expresados en porcentaje del importe de la inversión, serán los siguientes:</w:t>
      </w:r>
    </w:p>
    <w:p w:rsidR="00B2141D" w:rsidRDefault="00B2141D" w:rsidP="00B2141D">
      <w:pPr>
        <w:ind w:left="708"/>
      </w:pPr>
      <w:r>
        <w:t>a) Para la verificación y validación anual ambiental:</w:t>
      </w:r>
    </w:p>
    <w:p w:rsidR="00B2141D" w:rsidRDefault="00B2141D" w:rsidP="00B2141D">
      <w:pPr>
        <w:numPr>
          <w:ilvl w:val="0"/>
          <w:numId w:val="2"/>
        </w:numPr>
        <w:spacing w:after="0" w:line="240" w:lineRule="auto"/>
        <w:ind w:left="1428"/>
        <w:rPr>
          <w:u w:val="single"/>
        </w:rPr>
      </w:pPr>
      <w:r>
        <w:t xml:space="preserve">La subvención podrá cubrir </w:t>
      </w:r>
      <w:r>
        <w:rPr>
          <w:b/>
          <w:bCs/>
        </w:rPr>
        <w:t>hasta el 100% del coste de la verificación</w:t>
      </w:r>
      <w:r>
        <w:t xml:space="preserve"> o de la validación anual de la declaración medioambiental, para las </w:t>
      </w:r>
      <w:r>
        <w:rPr>
          <w:u w:val="single"/>
        </w:rPr>
        <w:t>organizaciones jurídico-privadas.</w:t>
      </w:r>
    </w:p>
    <w:p w:rsidR="00B2141D" w:rsidRDefault="00B2141D" w:rsidP="00B2141D">
      <w:pPr>
        <w:ind w:left="708"/>
      </w:pPr>
    </w:p>
    <w:p w:rsidR="00B2141D" w:rsidRDefault="00B2141D" w:rsidP="00B2141D">
      <w:pPr>
        <w:numPr>
          <w:ilvl w:val="0"/>
          <w:numId w:val="2"/>
        </w:numPr>
        <w:spacing w:after="0" w:line="240" w:lineRule="auto"/>
        <w:ind w:left="1428"/>
        <w:rPr>
          <w:u w:val="single"/>
        </w:rPr>
      </w:pPr>
      <w:r>
        <w:lastRenderedPageBreak/>
        <w:t xml:space="preserve">La subvención podrá cubrir </w:t>
      </w:r>
      <w:r>
        <w:rPr>
          <w:b/>
          <w:bCs/>
        </w:rPr>
        <w:t>hasta el 75% del coste de la verificación</w:t>
      </w:r>
      <w:r>
        <w:t xml:space="preserve"> o de la validación anual de la declaración medioambiental, para las </w:t>
      </w:r>
      <w:r>
        <w:rPr>
          <w:u w:val="single"/>
        </w:rPr>
        <w:t>organizaciones jurídico-públicas.</w:t>
      </w:r>
    </w:p>
    <w:p w:rsidR="00B2141D" w:rsidRDefault="00B2141D" w:rsidP="00B2141D">
      <w:pPr>
        <w:ind w:left="708"/>
      </w:pPr>
    </w:p>
    <w:p w:rsidR="00B2141D" w:rsidRDefault="00B2141D" w:rsidP="00B2141D">
      <w:pPr>
        <w:ind w:left="708"/>
      </w:pPr>
      <w:r>
        <w:t>b) Para la implantación del sistema:</w:t>
      </w:r>
    </w:p>
    <w:p w:rsidR="00B2141D" w:rsidRDefault="00B2141D" w:rsidP="00B2141D">
      <w:pPr>
        <w:pStyle w:val="NormalWeb"/>
        <w:numPr>
          <w:ilvl w:val="0"/>
          <w:numId w:val="3"/>
        </w:numPr>
        <w:ind w:left="1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subvención podrá cubrir </w:t>
      </w:r>
      <w:r>
        <w:rPr>
          <w:rFonts w:ascii="Calibri" w:hAnsi="Calibri"/>
          <w:b/>
          <w:bCs/>
          <w:sz w:val="22"/>
          <w:szCs w:val="22"/>
        </w:rPr>
        <w:t>hasta un 75% del coste de implantación</w:t>
      </w:r>
      <w:r>
        <w:rPr>
          <w:rFonts w:ascii="Calibri" w:hAnsi="Calibri"/>
          <w:sz w:val="22"/>
          <w:szCs w:val="22"/>
        </w:rPr>
        <w:t xml:space="preserve"> del sistema de gestión medioambiental según el Reglamento EMAS, con el límite máximo de dieciocho mil (18.000) euros.</w:t>
      </w:r>
    </w:p>
    <w:p w:rsidR="00B2141D" w:rsidRDefault="00B2141D" w:rsidP="00B2141D">
      <w:pPr>
        <w:pStyle w:val="NormalWeb"/>
        <w:ind w:left="708"/>
        <w:rPr>
          <w:rFonts w:ascii="Calibri" w:hAnsi="Calibri"/>
          <w:sz w:val="22"/>
          <w:szCs w:val="22"/>
        </w:rPr>
      </w:pPr>
    </w:p>
    <w:p w:rsidR="00B2141D" w:rsidRDefault="00B2141D" w:rsidP="00B2141D">
      <w:pPr>
        <w:pStyle w:val="NormalWeb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</w:rPr>
        <w:t>Requisitos:</w:t>
      </w:r>
      <w:r>
        <w:rPr>
          <w:rFonts w:ascii="Calibri" w:hAnsi="Calibri"/>
          <w:sz w:val="22"/>
          <w:szCs w:val="22"/>
        </w:rPr>
        <w:t xml:space="preserve"> Cada solicitud se redactará de acuerdo con el modelo que se adjunta como anexo I de las presentes bases, debidamente firmada por el representante legal de la empresa, y acompañada de la siguiente documentación por triplicado, que se presentará conforme al esquema siguiente: </w:t>
      </w:r>
    </w:p>
    <w:p w:rsidR="00B2141D" w:rsidRDefault="00B2141D" w:rsidP="00B2141D">
      <w:pPr>
        <w:spacing w:before="100" w:beforeAutospacing="1" w:after="100" w:afterAutospacing="1"/>
        <w:ind w:left="1416"/>
        <w:rPr>
          <w:rFonts w:ascii="Calibri" w:hAnsi="Calibri"/>
        </w:rPr>
      </w:pPr>
      <w:r>
        <w:t>1. Documentos de acreditación de la organización/personalidad del solicitante.</w:t>
      </w:r>
    </w:p>
    <w:p w:rsidR="00B2141D" w:rsidRDefault="00B2141D" w:rsidP="00B2141D">
      <w:pPr>
        <w:spacing w:before="100" w:beforeAutospacing="1" w:after="100" w:afterAutospacing="1"/>
        <w:ind w:left="1416"/>
      </w:pPr>
      <w:r>
        <w:t>2. Documentación relativa a la Previsión de Ingresos y Gastos.</w:t>
      </w:r>
    </w:p>
    <w:p w:rsidR="00B2141D" w:rsidRDefault="00B2141D" w:rsidP="00B2141D">
      <w:pPr>
        <w:spacing w:before="100" w:beforeAutospacing="1" w:after="100" w:afterAutospacing="1"/>
        <w:ind w:left="1416"/>
      </w:pPr>
      <w:r>
        <w:t>3. Documentación relativa a la Memoria Técnica de la inversión que se efectúa.</w:t>
      </w:r>
    </w:p>
    <w:p w:rsidR="00B2141D" w:rsidRDefault="00B2141D" w:rsidP="00B2141D">
      <w:pPr>
        <w:spacing w:before="100" w:beforeAutospacing="1" w:after="100" w:afterAutospacing="1"/>
        <w:ind w:left="1416"/>
      </w:pPr>
      <w:r>
        <w:t>4. Documentación que acredite los criterios de selección, valoración y baremo de la base duodécima, que concurran para cada organización</w:t>
      </w:r>
    </w:p>
    <w:p w:rsidR="00B2141D" w:rsidRDefault="00B2141D" w:rsidP="00B2141D">
      <w:pPr>
        <w:spacing w:before="100" w:beforeAutospacing="1" w:after="100" w:afterAutospacing="1"/>
        <w:ind w:left="1416"/>
      </w:pPr>
      <w:r>
        <w:t>5. Documentación acreditativa de hallarse al corriente de las obligaciones tributarias y con la Seguridad Social o, en su caso, la autorización a la Administración para recabarla directamente.</w:t>
      </w:r>
    </w:p>
    <w:p w:rsidR="00B2141D" w:rsidRDefault="00B2141D" w:rsidP="00B2141D">
      <w:pPr>
        <w:ind w:left="708"/>
        <w:rPr>
          <w:b/>
          <w:bCs/>
          <w:sz w:val="24"/>
          <w:szCs w:val="24"/>
        </w:rPr>
      </w:pPr>
      <w:r>
        <w:rPr>
          <w:b/>
          <w:bCs/>
        </w:rPr>
        <w:t xml:space="preserve">Documentación a aportar: </w:t>
      </w:r>
    </w:p>
    <w:p w:rsidR="00B2141D" w:rsidRDefault="00B2141D" w:rsidP="00B2141D">
      <w:pPr>
        <w:ind w:left="708"/>
      </w:pPr>
      <w:r>
        <w:t xml:space="preserve">ANEXO-I </w:t>
      </w:r>
      <w:hyperlink r:id="rId8" w:tgtFrame="_blank" w:history="1">
        <w:r>
          <w:rPr>
            <w:rStyle w:val="Hipervnculo"/>
          </w:rPr>
          <w:t xml:space="preserve">anexo1.pdf (422 kb) </w:t>
        </w:r>
      </w:hyperlink>
      <w:r>
        <w:br/>
        <w:t xml:space="preserve">ANEXO-II </w:t>
      </w:r>
      <w:hyperlink r:id="rId9" w:tgtFrame="_blank" w:history="1">
        <w:r>
          <w:rPr>
            <w:rStyle w:val="Hipervnculo"/>
          </w:rPr>
          <w:t xml:space="preserve">anexo2.pdf (67 kb) </w:t>
        </w:r>
      </w:hyperlink>
      <w:r>
        <w:br/>
        <w:t xml:space="preserve">ANEXO-III </w:t>
      </w:r>
      <w:hyperlink r:id="rId10" w:tgtFrame="_blank" w:history="1">
        <w:r>
          <w:rPr>
            <w:rStyle w:val="Hipervnculo"/>
          </w:rPr>
          <w:t xml:space="preserve">anexo3.pdf (247 kb) </w:t>
        </w:r>
      </w:hyperlink>
      <w:r>
        <w:br/>
        <w:t xml:space="preserve">ANEXO-IV </w:t>
      </w:r>
      <w:hyperlink r:id="rId11" w:tgtFrame="_blank" w:history="1">
        <w:r>
          <w:rPr>
            <w:rStyle w:val="Hipervnculo"/>
          </w:rPr>
          <w:t xml:space="preserve">anexo4.pdf (398 kb) </w:t>
        </w:r>
      </w:hyperlink>
      <w:r>
        <w:br/>
        <w:t xml:space="preserve">ANEXO-V </w:t>
      </w:r>
      <w:hyperlink r:id="rId12" w:tgtFrame="_blank" w:history="1">
        <w:r>
          <w:rPr>
            <w:rStyle w:val="Hipervnculo"/>
          </w:rPr>
          <w:t xml:space="preserve">anexo5.pdf (164 kb) </w:t>
        </w:r>
      </w:hyperlink>
    </w:p>
    <w:p w:rsidR="00B2141D" w:rsidRDefault="00B2141D" w:rsidP="00B2141D">
      <w:pPr>
        <w:ind w:left="708"/>
      </w:pPr>
    </w:p>
    <w:p w:rsidR="00B2141D" w:rsidRDefault="00B2141D" w:rsidP="00B2141D">
      <w:pPr>
        <w:ind w:left="708"/>
      </w:pPr>
      <w:r>
        <w:rPr>
          <w:b/>
          <w:bCs/>
        </w:rPr>
        <w:t>Lugar de Presentación</w:t>
      </w:r>
      <w:r>
        <w:t xml:space="preserve">: </w:t>
      </w:r>
    </w:p>
    <w:p w:rsidR="00B2141D" w:rsidRDefault="00B2141D" w:rsidP="00B2141D">
      <w:pPr>
        <w:numPr>
          <w:ilvl w:val="0"/>
          <w:numId w:val="4"/>
        </w:numPr>
        <w:spacing w:after="0" w:line="240" w:lineRule="auto"/>
        <w:ind w:left="1428"/>
      </w:pPr>
      <w:r>
        <w:t xml:space="preserve">Registro/s de </w:t>
      </w:r>
      <w:hyperlink r:id="rId13" w:tgtFrame="_blank" w:history="1">
        <w:r>
          <w:rPr>
            <w:rStyle w:val="Hipervnculo"/>
          </w:rPr>
          <w:t>Consejería de Medio Ambiente y Ordenación Territorial</w:t>
        </w:r>
      </w:hyperlink>
    </w:p>
    <w:p w:rsidR="00B2141D" w:rsidRDefault="00B2141D" w:rsidP="00B2141D">
      <w:pPr>
        <w:numPr>
          <w:ilvl w:val="0"/>
          <w:numId w:val="4"/>
        </w:numPr>
        <w:spacing w:after="0" w:line="240" w:lineRule="auto"/>
        <w:ind w:left="1428"/>
      </w:pPr>
      <w:r>
        <w:t xml:space="preserve">Registro/s de </w:t>
      </w:r>
      <w:hyperlink r:id="rId14" w:tgtFrame="_blank" w:history="1">
        <w:r>
          <w:rPr>
            <w:rStyle w:val="Hipervnculo"/>
          </w:rPr>
          <w:t>los Cabildos Insulares</w:t>
        </w:r>
      </w:hyperlink>
    </w:p>
    <w:p w:rsidR="00B2141D" w:rsidRDefault="00B2141D" w:rsidP="00B2141D">
      <w:pPr>
        <w:numPr>
          <w:ilvl w:val="0"/>
          <w:numId w:val="4"/>
        </w:numPr>
        <w:spacing w:after="0" w:line="240" w:lineRule="auto"/>
        <w:ind w:left="1428"/>
      </w:pPr>
      <w:r>
        <w:t xml:space="preserve">Así como en los </w:t>
      </w:r>
      <w:hyperlink r:id="rId15" w:tgtFrame="_blank" w:history="1">
        <w:r>
          <w:rPr>
            <w:rStyle w:val="Hipervnculo"/>
          </w:rPr>
          <w:t xml:space="preserve">demás registros </w:t>
        </w:r>
      </w:hyperlink>
      <w:r>
        <w:t xml:space="preserve">regulados en el </w:t>
      </w:r>
      <w:hyperlink r:id="rId16" w:tgtFrame="_blank" w:history="1">
        <w:r>
          <w:rPr>
            <w:rStyle w:val="Hipervnculo"/>
          </w:rPr>
          <w:t xml:space="preserve">Decreto 164/1994, de 29 de julio. </w:t>
        </w:r>
      </w:hyperlink>
    </w:p>
    <w:p w:rsidR="00B2141D" w:rsidRDefault="00B2141D" w:rsidP="00B2141D">
      <w:pPr>
        <w:ind w:left="708"/>
      </w:pPr>
    </w:p>
    <w:p w:rsidR="00B2141D" w:rsidRDefault="00B2141D" w:rsidP="00B2141D">
      <w:pPr>
        <w:ind w:left="708"/>
      </w:pPr>
      <w:r>
        <w:rPr>
          <w:b/>
          <w:bCs/>
        </w:rPr>
        <w:t>Criterios de valoración y baremación</w:t>
      </w:r>
      <w:r>
        <w:t>: Para la concesión de las subvenciones se tendrán en cuenta los siguientes criterios y baremos, que servirán de base para adoptar la resolución: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a) Objeto de la actuación: 10 ó 20 puntos.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lastRenderedPageBreak/>
        <w:t>b) Si la organización tiene certificado un sistema de gestión medioambiental según la norma ISO 14001, en el centro que se verifica, con una antigüedad mínima de cuatro años: 10 puntos.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c) Según la antigüedad de implantación de la organización en el centro que se verifica: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d) Según el interés socioeconómico: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- Si el beneficiario es una organización jurídica privada: 20 puntos en todo caso.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- Adicionalmente a lo anterior, si el beneficiario es una organización jurídica privada de tamaño: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- Mediana: 5 puntos.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- Pequeña: 10 puntos.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- Microempresa: 15 puntos.</w:t>
      </w:r>
    </w:p>
    <w:p w:rsidR="00B2141D" w:rsidRDefault="00B2141D" w:rsidP="00B2141D">
      <w:pPr>
        <w:spacing w:before="100" w:beforeAutospacing="1" w:after="100" w:afterAutospacing="1"/>
        <w:ind w:left="708"/>
        <w:rPr>
          <w:sz w:val="24"/>
          <w:szCs w:val="24"/>
        </w:rPr>
      </w:pPr>
      <w:r>
        <w:t>- Si el centro que se verifica está ubicado en una isla no capitalina: 5 puntos.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- Si el beneficiario da ocupación a trabajadores con minusvalía en porcentaje de al menos un 2% de la respectiva plantilla: 5 puntos.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- Si el beneficiario tiene a más del 50% de los trabajadores de su plantilla fijos: 5 puntos.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- Si el beneficiario es una asociación sin ánimo de lucro o fundación inscrita en el registro correspondiente de acuerdo con la normativa estatal y autonómica: 15 puntos.</w:t>
      </w:r>
    </w:p>
    <w:p w:rsidR="00B2141D" w:rsidRDefault="00B2141D" w:rsidP="00B2141D">
      <w:pPr>
        <w:pStyle w:val="NormalWeb"/>
        <w:ind w:left="708"/>
        <w:rPr>
          <w:rFonts w:ascii="Calibri" w:hAnsi="Calibri"/>
          <w:sz w:val="22"/>
          <w:szCs w:val="22"/>
        </w:rPr>
      </w:pPr>
      <w:r>
        <w:rPr>
          <w:rStyle w:val="Textoennegrita"/>
          <w:rFonts w:ascii="Calibri" w:hAnsi="Calibri"/>
        </w:rPr>
        <w:t>Forma de abono: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sz w:val="22"/>
          <w:szCs w:val="22"/>
        </w:rPr>
        <w:t>Con carácter general, las subvenciones se harán efectivas a los beneficiarios una vez realizada la actividad prevista, mediante la presentación de original o copia compulsada de:</w:t>
      </w:r>
    </w:p>
    <w:p w:rsidR="00B2141D" w:rsidRDefault="00B2141D" w:rsidP="00B2141D">
      <w:pPr>
        <w:spacing w:before="100" w:beforeAutospacing="1" w:after="100" w:afterAutospacing="1"/>
        <w:ind w:left="708"/>
        <w:rPr>
          <w:rFonts w:ascii="Calibri" w:hAnsi="Calibri"/>
        </w:rPr>
      </w:pPr>
      <w:r>
        <w:t>a) Las facturas de los gastos del verificador.</w:t>
      </w:r>
    </w:p>
    <w:p w:rsidR="00B2141D" w:rsidRDefault="00B2141D" w:rsidP="00B2141D">
      <w:pPr>
        <w:spacing w:before="100" w:beforeAutospacing="1" w:after="100" w:afterAutospacing="1"/>
        <w:ind w:left="708"/>
      </w:pPr>
      <w:r>
        <w:t>b) Las facturas de los gastos de implantación del sistema según el Reglamento EMAS durante el año de la convocatoria y el anterior.</w:t>
      </w:r>
    </w:p>
    <w:p w:rsidR="00B2141D" w:rsidRDefault="00B2141D" w:rsidP="00B2141D">
      <w:pPr>
        <w:ind w:left="708"/>
      </w:pPr>
      <w:r>
        <w:rPr>
          <w:b/>
          <w:bCs/>
        </w:rPr>
        <w:t>Normativa/Link</w:t>
      </w:r>
      <w:r>
        <w:t>:</w:t>
      </w:r>
    </w:p>
    <w:p w:rsidR="00B2141D" w:rsidRDefault="00B2141D" w:rsidP="00B2141D">
      <w:pPr>
        <w:ind w:left="708"/>
      </w:pPr>
      <w:r>
        <w:t xml:space="preserve">Bases: </w:t>
      </w:r>
    </w:p>
    <w:p w:rsidR="00B2141D" w:rsidRDefault="00B2141D" w:rsidP="00B2141D">
      <w:pPr>
        <w:ind w:left="708"/>
      </w:pPr>
      <w:hyperlink r:id="rId17" w:tgtFrame="_blank" w:history="1">
        <w:r>
          <w:rPr>
            <w:rStyle w:val="Hipervnculo"/>
          </w:rPr>
          <w:t>Orden de 12 de agosto de 2008 (BOC Nº 170, de 26.08.2008)</w:t>
        </w:r>
      </w:hyperlink>
      <w:r>
        <w:t>, por la que se establecen las bases que han de regir las convocatorias para la concesión de subvenciones para el fomento del instrumento establecido en el Reglamento (CE) nº 761/2001, del Parlamento Europeo y del Consejo, de 19 de marzo de 2001, que permite que las organizaciones se adhieran con carácter voluntario a un sistema comunitario de gestión y auditoría medioambientales (EMAS), y se convocan las subvenciones para el ejercicio 2008 cofinanciadas por el Fondo Europeo de Desarrollo Regional</w:t>
      </w:r>
    </w:p>
    <w:p w:rsidR="00B2141D" w:rsidRDefault="00B2141D" w:rsidP="00B2141D">
      <w:pPr>
        <w:ind w:left="708"/>
      </w:pPr>
    </w:p>
    <w:p w:rsidR="00B2141D" w:rsidRPr="00B2141D" w:rsidRDefault="00B2141D" w:rsidP="00B2141D">
      <w:pPr>
        <w:jc w:val="both"/>
        <w:rPr>
          <w:b/>
          <w:sz w:val="28"/>
          <w:szCs w:val="28"/>
        </w:rPr>
      </w:pPr>
    </w:p>
    <w:sectPr w:rsidR="00B2141D" w:rsidRPr="00B2141D" w:rsidSect="00B214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6E" w:rsidRDefault="0077626E" w:rsidP="00B2141D">
      <w:pPr>
        <w:spacing w:after="0" w:line="240" w:lineRule="auto"/>
      </w:pPr>
      <w:r>
        <w:separator/>
      </w:r>
    </w:p>
  </w:endnote>
  <w:endnote w:type="continuationSeparator" w:id="0">
    <w:p w:rsidR="0077626E" w:rsidRDefault="0077626E" w:rsidP="00B2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1D" w:rsidRDefault="00B214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174"/>
      <w:docPartObj>
        <w:docPartGallery w:val="Page Numbers (Bottom of Page)"/>
        <w:docPartUnique/>
      </w:docPartObj>
    </w:sdtPr>
    <w:sdtContent>
      <w:p w:rsidR="00B2141D" w:rsidRDefault="00B2141D">
        <w:pPr>
          <w:pStyle w:val="Piedep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2141D" w:rsidRDefault="00B2141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1D" w:rsidRDefault="00B214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6E" w:rsidRDefault="0077626E" w:rsidP="00B2141D">
      <w:pPr>
        <w:spacing w:after="0" w:line="240" w:lineRule="auto"/>
      </w:pPr>
      <w:r>
        <w:separator/>
      </w:r>
    </w:p>
  </w:footnote>
  <w:footnote w:type="continuationSeparator" w:id="0">
    <w:p w:rsidR="0077626E" w:rsidRDefault="0077626E" w:rsidP="00B2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1D" w:rsidRDefault="00B214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1D" w:rsidRDefault="00B2141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1D" w:rsidRDefault="00B214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B48"/>
    <w:multiLevelType w:val="hybridMultilevel"/>
    <w:tmpl w:val="ED44ED14"/>
    <w:lvl w:ilvl="0" w:tplc="1284AC28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B2D16"/>
    <w:multiLevelType w:val="hybridMultilevel"/>
    <w:tmpl w:val="C3E2406C"/>
    <w:lvl w:ilvl="0" w:tplc="9D569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97FE6"/>
    <w:multiLevelType w:val="hybridMultilevel"/>
    <w:tmpl w:val="E05CCEFA"/>
    <w:lvl w:ilvl="0" w:tplc="9D569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B4066"/>
    <w:multiLevelType w:val="hybridMultilevel"/>
    <w:tmpl w:val="ADD66D2C"/>
    <w:lvl w:ilvl="0" w:tplc="9D569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41D"/>
    <w:rsid w:val="000050BD"/>
    <w:rsid w:val="00025C28"/>
    <w:rsid w:val="00066B51"/>
    <w:rsid w:val="0009444E"/>
    <w:rsid w:val="00160B51"/>
    <w:rsid w:val="0016267E"/>
    <w:rsid w:val="001651E4"/>
    <w:rsid w:val="001846CA"/>
    <w:rsid w:val="001979DC"/>
    <w:rsid w:val="001A3663"/>
    <w:rsid w:val="001A58BA"/>
    <w:rsid w:val="001C6B3F"/>
    <w:rsid w:val="001D7496"/>
    <w:rsid w:val="001E146B"/>
    <w:rsid w:val="001E3DBC"/>
    <w:rsid w:val="00233DFD"/>
    <w:rsid w:val="002721DE"/>
    <w:rsid w:val="00276B5C"/>
    <w:rsid w:val="002900B4"/>
    <w:rsid w:val="002927E0"/>
    <w:rsid w:val="002A1207"/>
    <w:rsid w:val="003178BD"/>
    <w:rsid w:val="003212FE"/>
    <w:rsid w:val="003A3077"/>
    <w:rsid w:val="003A6F83"/>
    <w:rsid w:val="003D6539"/>
    <w:rsid w:val="003F77A9"/>
    <w:rsid w:val="00402573"/>
    <w:rsid w:val="00490699"/>
    <w:rsid w:val="004C0C2F"/>
    <w:rsid w:val="004C3BB7"/>
    <w:rsid w:val="004E29C5"/>
    <w:rsid w:val="004F181F"/>
    <w:rsid w:val="005067CE"/>
    <w:rsid w:val="00520E24"/>
    <w:rsid w:val="00576F91"/>
    <w:rsid w:val="00613714"/>
    <w:rsid w:val="006165F1"/>
    <w:rsid w:val="00637D68"/>
    <w:rsid w:val="006617B2"/>
    <w:rsid w:val="00683305"/>
    <w:rsid w:val="006921CD"/>
    <w:rsid w:val="006A36C0"/>
    <w:rsid w:val="006E6466"/>
    <w:rsid w:val="007345C7"/>
    <w:rsid w:val="00762930"/>
    <w:rsid w:val="0077626E"/>
    <w:rsid w:val="007B539A"/>
    <w:rsid w:val="007D2AD0"/>
    <w:rsid w:val="007F00A0"/>
    <w:rsid w:val="007F3D12"/>
    <w:rsid w:val="0081581C"/>
    <w:rsid w:val="00827175"/>
    <w:rsid w:val="0087368C"/>
    <w:rsid w:val="00873D02"/>
    <w:rsid w:val="00882D40"/>
    <w:rsid w:val="008E5A92"/>
    <w:rsid w:val="0091593F"/>
    <w:rsid w:val="009802A0"/>
    <w:rsid w:val="00996112"/>
    <w:rsid w:val="009A6D9F"/>
    <w:rsid w:val="009C4384"/>
    <w:rsid w:val="00A17266"/>
    <w:rsid w:val="00A51677"/>
    <w:rsid w:val="00A5181F"/>
    <w:rsid w:val="00A70C2C"/>
    <w:rsid w:val="00A72C2B"/>
    <w:rsid w:val="00A86CD4"/>
    <w:rsid w:val="00AA6B1A"/>
    <w:rsid w:val="00B13DF1"/>
    <w:rsid w:val="00B2141D"/>
    <w:rsid w:val="00B2627C"/>
    <w:rsid w:val="00BA327A"/>
    <w:rsid w:val="00BB61A8"/>
    <w:rsid w:val="00C25F4C"/>
    <w:rsid w:val="00C33F8B"/>
    <w:rsid w:val="00C5518B"/>
    <w:rsid w:val="00C873F4"/>
    <w:rsid w:val="00CD7896"/>
    <w:rsid w:val="00D0425D"/>
    <w:rsid w:val="00D2663A"/>
    <w:rsid w:val="00D528AC"/>
    <w:rsid w:val="00D54B7C"/>
    <w:rsid w:val="00D631FF"/>
    <w:rsid w:val="00D84CD5"/>
    <w:rsid w:val="00DE4352"/>
    <w:rsid w:val="00DF7A92"/>
    <w:rsid w:val="00E22A35"/>
    <w:rsid w:val="00E31FFF"/>
    <w:rsid w:val="00E57808"/>
    <w:rsid w:val="00E63B1C"/>
    <w:rsid w:val="00E77148"/>
    <w:rsid w:val="00E95F8D"/>
    <w:rsid w:val="00EA6380"/>
    <w:rsid w:val="00EB2648"/>
    <w:rsid w:val="00EC0D27"/>
    <w:rsid w:val="00ED26D7"/>
    <w:rsid w:val="00EE170C"/>
    <w:rsid w:val="00F024DF"/>
    <w:rsid w:val="00F6759A"/>
    <w:rsid w:val="00F72024"/>
    <w:rsid w:val="00FA0FF7"/>
    <w:rsid w:val="00FA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14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141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2141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21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41D"/>
  </w:style>
  <w:style w:type="paragraph" w:styleId="Piedepgina">
    <w:name w:val="footer"/>
    <w:basedOn w:val="Normal"/>
    <w:link w:val="PiedepginaCar"/>
    <w:uiPriority w:val="99"/>
    <w:unhideWhenUsed/>
    <w:rsid w:val="00B21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decanarias.org/ayudas/2008/solicitudes/1953/anexo1.pdf" TargetMode="External"/><Relationship Id="rId13" Type="http://schemas.openxmlformats.org/officeDocument/2006/relationships/hyperlink" Target="http://www.gobiernodecanarias.org/oficinasderegistro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gobiernodecanarias.org/boc/2010/068/004.html" TargetMode="External"/><Relationship Id="rId12" Type="http://schemas.openxmlformats.org/officeDocument/2006/relationships/hyperlink" Target="http://www.gobiernodecanarias.org/ayudas/2008/modelos/1953/anexo5.pdf" TargetMode="External"/><Relationship Id="rId17" Type="http://schemas.openxmlformats.org/officeDocument/2006/relationships/hyperlink" Target="http://www.gobiernodecanarias.org/boc/2008/170/00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biernodecanarias.org/boc/1994/102/001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biernodecanarias.org/ayudas/2008/modelos/1953/anexo4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biernodecanarias.org/ayudas/registros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obiernodecanarias.org/ayudas/2008/modelos/1953/anexo3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biernodecanarias.org/ayudas/2008/modelos/1953/anexo2.pdf" TargetMode="External"/><Relationship Id="rId14" Type="http://schemas.openxmlformats.org/officeDocument/2006/relationships/hyperlink" Target="http://www.gobiernodecanarias.org/otros/igs_otros_cabi.js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6197</Characters>
  <Application>Microsoft Office Word</Application>
  <DocSecurity>0</DocSecurity>
  <Lines>51</Lines>
  <Paragraphs>14</Paragraphs>
  <ScaleCrop>false</ScaleCrop>
  <Company>REITEC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REITEC</dc:creator>
  <cp:keywords/>
  <dc:description/>
  <cp:lastModifiedBy>REITEC</cp:lastModifiedBy>
  <cp:revision>1</cp:revision>
  <dcterms:created xsi:type="dcterms:W3CDTF">2010-04-20T09:46:00Z</dcterms:created>
  <dcterms:modified xsi:type="dcterms:W3CDTF">2010-04-20T09:51:00Z</dcterms:modified>
</cp:coreProperties>
</file>